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彭学兵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1972.12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副院长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2013.11.22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2014.01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  <w:b/>
              </w:rPr>
              <w:t>■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>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:合格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305.622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272/B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sz w:val="24"/>
              </w:rPr>
              <w:t>1358.79/A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197.65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1748.5</w:t>
            </w:r>
            <w:bookmarkStart w:id="0" w:name="_GoBack"/>
            <w:bookmarkEnd w:id="0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  <w:lang w:val="en-US" w:eastAsia="zh-CN"/>
              </w:rPr>
              <w:t>ABD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■完成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教学成果奖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两式两化 三个模块 四大平台——以创业教育为抓手全面提升经管类人才培养质量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浙江省教育厅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浙江省第七届高等教育教学成果奖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教学成果奖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地方高校工商管理专业案例教学    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“一体三翼五维”模式探索与人才培养实践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浙江省教育厅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浙江省第八届高等教育成果奖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3/5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993"/>
        <w:gridCol w:w="850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效果/因果两种推理导向下创业新手的资源整合行为理性研究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国家自然科学基金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面上项目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效果推理下的新企业创业资源整合方式选择研究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浙江省自然科学基金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面上项目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平阳县“十三五”科技发展规划编制服务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平阳县科技局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横向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14.75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再创业背景下创业者的风险管理行为研究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浙江省社科联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一般项目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0.5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957"/>
        <w:gridCol w:w="1010"/>
        <w:gridCol w:w="1882"/>
        <w:gridCol w:w="935"/>
        <w:gridCol w:w="746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效果/因果两种推理逻辑下的新企业创业资源整合研究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2016.06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经济科学出版社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一级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论文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创业资源整合、组织协调与新创企业绩效的关系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2016.01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科研管理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一级A，CSSCI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创业团队异质性与新创企业成长绩效关系的实证研究:团队整合的中介作用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2014.10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人类工效学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一级</w:t>
            </w:r>
            <w:r>
              <w:rPr>
                <w:rFonts w:hint="eastAsia" w:ascii="宋体"/>
              </w:rPr>
              <w:t>B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网络异质性、知识异质性与新创企业创新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2015.04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情报科学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CSSCI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基于TRIZ理论的创新过程和研究框架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2015.04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浙江理工大学学报B.社会科学版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一级</w:t>
            </w:r>
            <w:r>
              <w:rPr>
                <w:rFonts w:hint="eastAsia" w:ascii="宋体"/>
              </w:rPr>
              <w:t>B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基于QFD理论的工商管理专业案例教学设计研究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2014.02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浙江理工大学学报B.社会科学版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一级</w:t>
            </w:r>
            <w:r>
              <w:rPr>
                <w:rFonts w:hint="eastAsia" w:ascii="宋体"/>
              </w:rPr>
              <w:t>B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color w:val="000000"/>
              </w:rPr>
              <w:t>2014年“创青春”全国大学生创业大赛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杭州麦扑文化创意有限公司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共青团中央、教育部、人力资源社会保障部、中国科协、全国学联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国家级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金奖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负责浙江省重点学科《企业管理》的创业管理与企业战略学科方向负责人，在重点学科验收工作中发挥重要作用；在《管理科学与工程》省一流学科B申报、在2016年《管理科学与工程》学科评估材料申报与审核中发挥重要作用。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23CDD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77538"/>
    <w:rsid w:val="00387830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50F5B"/>
    <w:rsid w:val="00570DFE"/>
    <w:rsid w:val="005745D6"/>
    <w:rsid w:val="0059061F"/>
    <w:rsid w:val="00597065"/>
    <w:rsid w:val="005A0913"/>
    <w:rsid w:val="005C06D8"/>
    <w:rsid w:val="005C2A10"/>
    <w:rsid w:val="005C70BA"/>
    <w:rsid w:val="005E7267"/>
    <w:rsid w:val="006161EF"/>
    <w:rsid w:val="0063084D"/>
    <w:rsid w:val="006331DE"/>
    <w:rsid w:val="00641EEB"/>
    <w:rsid w:val="00665BCE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016C"/>
    <w:rsid w:val="00784C5D"/>
    <w:rsid w:val="007947B9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11E90"/>
    <w:rsid w:val="0092689C"/>
    <w:rsid w:val="009315E6"/>
    <w:rsid w:val="00943A84"/>
    <w:rsid w:val="00970A45"/>
    <w:rsid w:val="00972F33"/>
    <w:rsid w:val="009836B1"/>
    <w:rsid w:val="009901A5"/>
    <w:rsid w:val="00997015"/>
    <w:rsid w:val="009C51B8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56849"/>
    <w:rsid w:val="00B61257"/>
    <w:rsid w:val="00B65E53"/>
    <w:rsid w:val="00B77DBE"/>
    <w:rsid w:val="00BB7140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56EF4"/>
    <w:rsid w:val="00C6520B"/>
    <w:rsid w:val="00C65221"/>
    <w:rsid w:val="00C772A7"/>
    <w:rsid w:val="00C80B04"/>
    <w:rsid w:val="00C87A76"/>
    <w:rsid w:val="00CC035C"/>
    <w:rsid w:val="00CC3018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3F93"/>
    <w:rsid w:val="00D06DA3"/>
    <w:rsid w:val="00D13BFE"/>
    <w:rsid w:val="00D21158"/>
    <w:rsid w:val="00D23DE1"/>
    <w:rsid w:val="00D2525C"/>
    <w:rsid w:val="00D27D7A"/>
    <w:rsid w:val="00D95C80"/>
    <w:rsid w:val="00DA0F33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831D3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842AB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564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370</Words>
  <Characters>2110</Characters>
  <Lines>17</Lines>
  <Paragraphs>4</Paragraphs>
  <TotalTime>0</TotalTime>
  <ScaleCrop>false</ScaleCrop>
  <LinksUpToDate>false</LinksUpToDate>
  <CharactersWithSpaces>2476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2017-05-25T01:32:52Z</dcterms:modified>
  <dc:title>正高级专业技术岗位考核表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