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336" w:rightChars="16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正高级专业技术岗位聘期考核表</w:t>
      </w:r>
    </w:p>
    <w:tbl>
      <w:tblPr>
        <w:tblStyle w:val="7"/>
        <w:tblW w:w="1261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46"/>
        <w:gridCol w:w="1139"/>
        <w:gridCol w:w="215"/>
        <w:gridCol w:w="280"/>
        <w:gridCol w:w="344"/>
        <w:gridCol w:w="1268"/>
        <w:gridCol w:w="289"/>
        <w:gridCol w:w="1271"/>
        <w:gridCol w:w="160"/>
        <w:gridCol w:w="903"/>
        <w:gridCol w:w="83"/>
        <w:gridCol w:w="290"/>
        <w:gridCol w:w="467"/>
        <w:gridCol w:w="98"/>
        <w:gridCol w:w="684"/>
        <w:gridCol w:w="478"/>
        <w:gridCol w:w="188"/>
        <w:gridCol w:w="1387"/>
        <w:gridCol w:w="38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67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张海洋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1971.1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党政职务</w:t>
            </w: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无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是否双肩挑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67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工作部门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经管学院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学科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应用经济学</w:t>
            </w: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学科所属学院（部）</w:t>
            </w:r>
          </w:p>
        </w:tc>
        <w:tc>
          <w:tcPr>
            <w:tcW w:w="2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经管学院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67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专业技术职务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教授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专技职务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取得时间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2010.11</w:t>
            </w: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现专技职务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聘任年限</w:t>
            </w:r>
          </w:p>
        </w:tc>
        <w:tc>
          <w:tcPr>
            <w:tcW w:w="2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484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岗位等级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四级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现聘专技岗位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聘任时间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8</w:t>
            </w: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现聘专技岗位年限</w:t>
            </w:r>
          </w:p>
        </w:tc>
        <w:tc>
          <w:tcPr>
            <w:tcW w:w="2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</w:rPr>
            </w:pPr>
          </w:p>
          <w:p>
            <w:pPr>
              <w:widowControl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7" w:hRule="atLeast"/>
        </w:trPr>
        <w:tc>
          <w:tcPr>
            <w:tcW w:w="269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所聘岗位类型</w:t>
            </w:r>
          </w:p>
        </w:tc>
        <w:tc>
          <w:tcPr>
            <w:tcW w:w="84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□教学型</w:t>
            </w:r>
            <w:r>
              <w:rPr>
                <w:rFonts w:ascii="宋体"/>
              </w:rPr>
              <w:t xml:space="preserve">          </w:t>
            </w:r>
            <w:r>
              <w:rPr>
                <w:rFonts w:hint="eastAsia" w:ascii="宋体"/>
              </w:rPr>
              <w:t>□</w:t>
            </w:r>
            <w:r>
              <w:rPr>
                <w:rFonts w:hint="default" w:ascii="Arial" w:hAnsi="Arial" w:cs="Arial"/>
              </w:rPr>
              <w:t>√</w:t>
            </w:r>
            <w:r>
              <w:rPr>
                <w:rFonts w:hint="eastAsia" w:ascii="宋体"/>
              </w:rPr>
              <w:t>教学研究型</w:t>
            </w:r>
            <w:r>
              <w:rPr>
                <w:rFonts w:ascii="宋体"/>
              </w:rPr>
              <w:t xml:space="preserve">          </w:t>
            </w:r>
            <w:r>
              <w:rPr>
                <w:rFonts w:hint="eastAsia" w:ascii="宋体"/>
              </w:rPr>
              <w:t>□科研型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4" w:hRule="atLeast"/>
        </w:trPr>
        <w:tc>
          <w:tcPr>
            <w:tcW w:w="70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聘期考核内容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年度考核情况</w:t>
            </w:r>
          </w:p>
        </w:tc>
        <w:tc>
          <w:tcPr>
            <w:tcW w:w="55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ascii="宋体"/>
              </w:rPr>
              <w:t>2014</w:t>
            </w:r>
            <w:r>
              <w:rPr>
                <w:rFonts w:hint="eastAsia" w:ascii="宋体"/>
              </w:rPr>
              <w:t>年：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  <w:lang w:val="en-US" w:eastAsia="zh-CN"/>
              </w:rPr>
              <w:t>合格</w:t>
            </w:r>
            <w:r>
              <w:rPr>
                <w:rFonts w:ascii="宋体"/>
              </w:rPr>
              <w:t xml:space="preserve">  2015</w:t>
            </w:r>
            <w:r>
              <w:rPr>
                <w:rFonts w:hint="eastAsia" w:ascii="宋体"/>
              </w:rPr>
              <w:t>年：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  <w:lang w:val="en-US" w:eastAsia="zh-CN"/>
              </w:rPr>
              <w:t>合格</w:t>
            </w:r>
            <w:r>
              <w:rPr>
                <w:rFonts w:ascii="宋体"/>
              </w:rPr>
              <w:t xml:space="preserve">   2016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: </w:t>
            </w:r>
            <w:r>
              <w:rPr>
                <w:rFonts w:hint="eastAsia" w:ascii="宋体"/>
                <w:lang w:val="en-US" w:eastAsia="zh-CN"/>
              </w:rPr>
              <w:t>合格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5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完成聘期目标任务情况（</w:t>
            </w:r>
            <w:r>
              <w:rPr>
                <w:rFonts w:ascii="宋体"/>
              </w:rPr>
              <w:t>*</w:t>
            </w:r>
            <w:r>
              <w:rPr>
                <w:rFonts w:hint="eastAsia" w:ascii="宋体"/>
              </w:rPr>
              <w:t>业绩要求及认定按照浙理工党【</w:t>
            </w:r>
            <w:r>
              <w:rPr>
                <w:rFonts w:ascii="宋体"/>
              </w:rPr>
              <w:t>2013</w:t>
            </w:r>
            <w:r>
              <w:rPr>
                <w:rFonts w:hint="eastAsia" w:ascii="宋体"/>
              </w:rPr>
              <w:t>】</w:t>
            </w:r>
            <w:r>
              <w:rPr>
                <w:rFonts w:ascii="宋体"/>
              </w:rPr>
              <w:t>33</w:t>
            </w:r>
            <w:r>
              <w:rPr>
                <w:rFonts w:hint="eastAsia" w:ascii="宋体"/>
              </w:rPr>
              <w:t>号附件</w:t>
            </w:r>
            <w:r>
              <w:rPr>
                <w:rFonts w:ascii="宋体"/>
              </w:rPr>
              <w:t>1</w:t>
            </w:r>
            <w:r>
              <w:rPr>
                <w:rFonts w:hint="eastAsia" w:ascii="宋体"/>
              </w:rPr>
              <w:t>、</w:t>
            </w:r>
            <w:r>
              <w:rPr>
                <w:rFonts w:ascii="宋体"/>
              </w:rPr>
              <w:t>1.1</w:t>
            </w:r>
            <w:r>
              <w:rPr>
                <w:rFonts w:hint="eastAsia" w:ascii="宋体"/>
              </w:rPr>
              <w:t>、</w:t>
            </w:r>
            <w:r>
              <w:rPr>
                <w:rFonts w:ascii="宋体"/>
              </w:rPr>
              <w:t>1.2</w:t>
            </w:r>
            <w:r>
              <w:rPr>
                <w:rFonts w:hint="eastAsia" w:ascii="宋体"/>
              </w:rPr>
              <w:t>执行）：</w:t>
            </w:r>
          </w:p>
        </w:tc>
        <w:tc>
          <w:tcPr>
            <w:tcW w:w="8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</w:t>
            </w:r>
            <w:r>
              <w:rPr>
                <w:rFonts w:ascii="宋体"/>
              </w:rPr>
              <w:t>1</w:t>
            </w:r>
            <w:r>
              <w:rPr>
                <w:rFonts w:hint="eastAsia" w:ascii="宋体"/>
              </w:rPr>
              <w:t>）年基础工作量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2014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2015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2016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5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教学工作量及教学业绩等级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1008</w:t>
            </w:r>
            <w:r>
              <w:rPr>
                <w:rFonts w:ascii="宋体"/>
              </w:rPr>
              <w:t>/B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1221</w:t>
            </w:r>
            <w:r>
              <w:rPr>
                <w:rFonts w:ascii="宋体"/>
              </w:rPr>
              <w:t>/</w:t>
            </w:r>
            <w:r>
              <w:rPr>
                <w:rFonts w:hint="eastAsia" w:ascii="宋体"/>
                <w:lang w:val="en-US" w:eastAsia="zh-CN"/>
              </w:rPr>
              <w:t>C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1215</w:t>
            </w:r>
            <w:r>
              <w:rPr>
                <w:rFonts w:ascii="宋体"/>
              </w:rPr>
              <w:t>/B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717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科学、教学研究工作量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1990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130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540</w:t>
            </w:r>
            <w:bookmarkStart w:id="0" w:name="_GoBack"/>
            <w:bookmarkEnd w:id="0"/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398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是否完成基础工作量要求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是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400" w:lineRule="exact"/>
              <w:ind w:right="336" w:rightChars="160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是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400" w:lineRule="exact"/>
              <w:ind w:right="336" w:rightChars="160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是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400" w:lineRule="exact"/>
              <w:ind w:left="720" w:right="336" w:rightChars="160" w:firstLine="0" w:firstLineChars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51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（</w:t>
            </w:r>
            <w:r>
              <w:rPr>
                <w:rFonts w:ascii="宋体"/>
              </w:rPr>
              <w:t>2</w:t>
            </w:r>
            <w:r>
              <w:rPr>
                <w:rFonts w:hint="eastAsia" w:ascii="宋体"/>
              </w:rPr>
              <w:t>）完成所聘岗位职责</w:t>
            </w:r>
            <w:r>
              <w:rPr>
                <w:rFonts w:ascii="宋体"/>
              </w:rPr>
              <w:t>6</w:t>
            </w:r>
            <w:r>
              <w:rPr>
                <w:rFonts w:hint="eastAsia" w:ascii="宋体"/>
              </w:rPr>
              <w:t>所规定的业绩情况：</w:t>
            </w:r>
          </w:p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科学研究工作：</w:t>
            </w:r>
            <w:r>
              <w:rPr>
                <w:rFonts w:hint="eastAsia" w:ascii="宋体"/>
                <w:lang w:val="en-US" w:eastAsia="zh-CN"/>
              </w:rPr>
              <w:t>A</w:t>
            </w:r>
            <w:r>
              <w:rPr>
                <w:rFonts w:hint="eastAsia" w:ascii="宋体"/>
                <w:u w:val="single"/>
              </w:rPr>
              <w:t>、</w:t>
            </w:r>
            <w:r>
              <w:rPr>
                <w:rFonts w:hint="eastAsia" w:ascii="宋体"/>
                <w:u w:val="single"/>
                <w:lang w:val="en-US" w:eastAsia="zh-CN"/>
              </w:rPr>
              <w:t>C</w:t>
            </w:r>
            <w:r>
              <w:rPr>
                <w:rFonts w:ascii="宋体"/>
                <w:u w:val="single"/>
              </w:rPr>
              <w:t xml:space="preserve">  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384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pStyle w:val="14"/>
              <w:spacing w:line="400" w:lineRule="exact"/>
              <w:ind w:right="336" w:rightChars="160" w:firstLine="0" w:firstLineChars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99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上述个人填写内容客观属实！</w:t>
            </w:r>
            <w:r>
              <w:rPr>
                <w:rFonts w:ascii="宋体"/>
              </w:rPr>
              <w:t xml:space="preserve">                              </w:t>
            </w:r>
            <w:r>
              <w:rPr>
                <w:rFonts w:hint="eastAsia" w:ascii="宋体"/>
              </w:rPr>
              <w:t>本人签字：</w:t>
            </w:r>
          </w:p>
        </w:tc>
        <w:tc>
          <w:tcPr>
            <w:tcW w:w="3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是否完成所聘岗位职责要求：</w:t>
            </w: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default" w:ascii="Arial" w:hAnsi="Arial" w:cs="Arial"/>
              </w:rPr>
              <w:t>√</w:t>
            </w:r>
            <w:r>
              <w:rPr>
                <w:rFonts w:hint="eastAsia" w:ascii="宋体"/>
              </w:rPr>
              <w:t>完成</w:t>
            </w:r>
            <w:r>
              <w:rPr>
                <w:rFonts w:ascii="宋体"/>
              </w:rPr>
              <w:t xml:space="preserve">        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未完成</w:t>
            </w:r>
          </w:p>
        </w:tc>
        <w:tc>
          <w:tcPr>
            <w:tcW w:w="1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所属考核工作小组意见</w:t>
            </w:r>
          </w:p>
        </w:tc>
        <w:tc>
          <w:tcPr>
            <w:tcW w:w="81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336" w:rightChars="160"/>
              <w:rPr>
                <w:rFonts w:ascii="宋体"/>
              </w:rPr>
            </w:pPr>
            <w:r>
              <w:rPr>
                <w:rFonts w:hint="eastAsia" w:ascii="宋体"/>
              </w:rPr>
              <w:t>（建议为基本合格等级的，需说明理由）</w:t>
            </w:r>
          </w:p>
          <w:p>
            <w:pPr>
              <w:spacing w:line="400" w:lineRule="exact"/>
              <w:ind w:right="336" w:rightChars="160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hint="default" w:ascii="Arial" w:hAnsi="Arial" w:cs="Arial"/>
              </w:rPr>
              <w:t>√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不合格</w:t>
            </w:r>
          </w:p>
          <w:p>
            <w:pPr>
              <w:spacing w:line="400" w:lineRule="exact"/>
              <w:ind w:right="336" w:rightChars="160"/>
              <w:rPr>
                <w:rFonts w:ascii="宋体"/>
              </w:rPr>
            </w:pPr>
          </w:p>
          <w:p>
            <w:pPr>
              <w:spacing w:line="400" w:lineRule="exact"/>
              <w:ind w:right="336" w:rightChars="160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组长签字（盖章）：</w:t>
            </w:r>
            <w:r>
              <w:rPr>
                <w:rFonts w:ascii="宋体"/>
              </w:rPr>
              <w:t xml:space="preserve">                        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日</w:t>
            </w:r>
          </w:p>
        </w:tc>
        <w:tc>
          <w:tcPr>
            <w:tcW w:w="384" w:type="dxa"/>
            <w:vMerge w:val="restart"/>
            <w:tcBorders>
              <w:bottom w:val="nil"/>
            </w:tcBorders>
            <w:vAlign w:val="center"/>
          </w:tcPr>
          <w:p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职能部门审核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校考核工作领导小组意见</w:t>
            </w:r>
          </w:p>
        </w:tc>
        <w:tc>
          <w:tcPr>
            <w:tcW w:w="81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不合格</w:t>
            </w:r>
          </w:p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组长签字（盖章）：</w:t>
            </w:r>
            <w:r>
              <w:rPr>
                <w:rFonts w:ascii="宋体"/>
              </w:rPr>
              <w:t xml:space="preserve">                        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日</w:t>
            </w:r>
          </w:p>
        </w:tc>
        <w:tc>
          <w:tcPr>
            <w:tcW w:w="384" w:type="dxa"/>
            <w:vMerge w:val="continue"/>
            <w:tcBorders>
              <w:bottom w:val="nil"/>
            </w:tcBorders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校长办公会审定</w:t>
            </w:r>
          </w:p>
        </w:tc>
        <w:tc>
          <w:tcPr>
            <w:tcW w:w="81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不合格</w:t>
            </w:r>
          </w:p>
          <w:p>
            <w:pPr>
              <w:spacing w:beforeLines="100"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          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日</w:t>
            </w:r>
          </w:p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                </w:t>
            </w:r>
            <w:r>
              <w:rPr>
                <w:rFonts w:hint="eastAsia" w:ascii="宋体"/>
              </w:rPr>
              <w:t>（盖章）</w:t>
            </w:r>
          </w:p>
        </w:tc>
        <w:tc>
          <w:tcPr>
            <w:tcW w:w="38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</w:tr>
    </w:tbl>
    <w:p>
      <w:pPr>
        <w:spacing w:line="320" w:lineRule="exact"/>
        <w:ind w:right="-1260" w:rightChars="-600"/>
        <w:jc w:val="left"/>
        <w:rPr>
          <w:rFonts w:ascii="黑体" w:eastAsia="黑体"/>
          <w:b/>
          <w:szCs w:val="30"/>
        </w:rPr>
      </w:pPr>
      <w:r>
        <w:rPr>
          <w:rFonts w:hint="eastAsia" w:ascii="黑体" w:eastAsia="黑体"/>
          <w:b/>
          <w:szCs w:val="30"/>
        </w:rPr>
        <w:t>以下仅需按照《浙江理工大学正高级专业技术岗位的职责与聘用条件（浙理工党【</w:t>
      </w:r>
      <w:r>
        <w:rPr>
          <w:rFonts w:ascii="黑体" w:eastAsia="黑体"/>
          <w:b/>
          <w:szCs w:val="30"/>
        </w:rPr>
        <w:t>2013</w:t>
      </w:r>
      <w:r>
        <w:rPr>
          <w:rFonts w:hint="eastAsia" w:ascii="黑体" w:eastAsia="黑体"/>
          <w:b/>
          <w:szCs w:val="30"/>
        </w:rPr>
        <w:t>】</w:t>
      </w:r>
      <w:r>
        <w:rPr>
          <w:rFonts w:ascii="黑体" w:eastAsia="黑体"/>
          <w:b/>
          <w:szCs w:val="30"/>
        </w:rPr>
        <w:t>33</w:t>
      </w:r>
      <w:r>
        <w:rPr>
          <w:rFonts w:hint="eastAsia" w:ascii="黑体" w:eastAsia="黑体"/>
          <w:b/>
          <w:szCs w:val="30"/>
        </w:rPr>
        <w:t>号附件</w:t>
      </w:r>
      <w:r>
        <w:rPr>
          <w:rFonts w:ascii="黑体" w:eastAsia="黑体"/>
          <w:b/>
          <w:szCs w:val="30"/>
        </w:rPr>
        <w:t>1</w:t>
      </w:r>
      <w:r>
        <w:rPr>
          <w:rFonts w:hint="eastAsia" w:ascii="黑体" w:eastAsia="黑体"/>
          <w:b/>
          <w:szCs w:val="30"/>
        </w:rPr>
        <w:t>）》</w:t>
      </w:r>
    </w:p>
    <w:p>
      <w:pPr>
        <w:spacing w:line="320" w:lineRule="exact"/>
        <w:ind w:right="-1260" w:rightChars="-600"/>
        <w:jc w:val="left"/>
        <w:rPr>
          <w:rFonts w:ascii="黑体" w:eastAsia="黑体"/>
          <w:b/>
          <w:szCs w:val="30"/>
        </w:rPr>
      </w:pPr>
      <w:r>
        <w:rPr>
          <w:rFonts w:hint="eastAsia" w:ascii="黑体" w:eastAsia="黑体"/>
          <w:b/>
          <w:szCs w:val="30"/>
        </w:rPr>
        <w:t>填写所聘岗位“岗位职责”</w:t>
      </w:r>
      <w:r>
        <w:rPr>
          <w:rFonts w:ascii="黑体" w:eastAsia="黑体"/>
          <w:b/>
          <w:szCs w:val="30"/>
        </w:rPr>
        <w:t>6</w:t>
      </w:r>
      <w:r>
        <w:rPr>
          <w:rFonts w:hint="eastAsia" w:ascii="黑体" w:eastAsia="黑体"/>
          <w:b/>
          <w:szCs w:val="30"/>
        </w:rPr>
        <w:t>所规定的业绩情况。</w:t>
      </w:r>
      <w:r>
        <w:rPr>
          <w:rFonts w:ascii="黑体" w:eastAsia="黑体"/>
          <w:b/>
          <w:szCs w:val="30"/>
        </w:rPr>
        <w:t xml:space="preserve">       </w:t>
      </w:r>
    </w:p>
    <w:p>
      <w:pPr>
        <w:numPr>
          <w:ilvl w:val="0"/>
          <w:numId w:val="1"/>
        </w:numPr>
        <w:spacing w:line="320" w:lineRule="exact"/>
        <w:ind w:right="336" w:rightChars="160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4"/>
        </w:rPr>
        <w:t>获奖、教学成果、知识产权及艺术展情况</w:t>
      </w:r>
      <w:r>
        <w:rPr>
          <w:rFonts w:hint="eastAsia" w:ascii="黑体" w:eastAsia="黑体"/>
          <w:szCs w:val="21"/>
        </w:rPr>
        <w:t>（限填</w:t>
      </w:r>
      <w:r>
        <w:rPr>
          <w:rFonts w:ascii="黑体" w:eastAsia="黑体"/>
          <w:szCs w:val="21"/>
        </w:rPr>
        <w:t>5</w:t>
      </w:r>
      <w:r>
        <w:rPr>
          <w:rFonts w:hint="eastAsia" w:ascii="黑体" w:eastAsia="黑体"/>
          <w:szCs w:val="21"/>
        </w:rPr>
        <w:t>项以内</w:t>
      </w:r>
      <w:r>
        <w:rPr>
          <w:rFonts w:ascii="黑体" w:eastAsia="黑体"/>
          <w:szCs w:val="21"/>
        </w:rPr>
        <w:t>)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843"/>
        <w:gridCol w:w="1520"/>
        <w:gridCol w:w="1418"/>
        <w:gridCol w:w="850"/>
        <w:gridCol w:w="992"/>
        <w:gridCol w:w="748"/>
        <w:gridCol w:w="919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类型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获奖项目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专利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艺术作品名称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颁奖部门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专利类别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展览名称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奖项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类（级）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颁奖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授权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展览年月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排名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学院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职能部门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eastAsia="仿宋_GB2312" w:cs="仿宋_GB2312"/>
                <w:sz w:val="20"/>
                <w:szCs w:val="20"/>
                <w:lang w:val="en-US" w:eastAsia="zh-CN"/>
              </w:rPr>
              <w:t>中国工业新产品技术效率研究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仿宋_GB2312"/>
                <w:sz w:val="20"/>
                <w:szCs w:val="20"/>
                <w:lang w:val="en-US" w:eastAsia="zh-CN"/>
              </w:rPr>
              <w:t>浙江省人民政府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仿宋_GB2312"/>
                <w:sz w:val="20"/>
                <w:szCs w:val="20"/>
                <w:lang w:val="en-US" w:eastAsia="zh-CN"/>
              </w:rPr>
              <w:t xml:space="preserve">浙江省第十七届哲学社会科学优秀成果奖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仿宋_GB2312"/>
                <w:sz w:val="20"/>
                <w:szCs w:val="20"/>
                <w:lang w:val="en-US" w:eastAsia="zh-CN"/>
              </w:rPr>
              <w:t>二等奖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eastAsia="仿宋_GB2312"/>
                <w:sz w:val="20"/>
                <w:szCs w:val="20"/>
              </w:rPr>
              <w:t>20</w:t>
            </w:r>
            <w:r>
              <w:rPr>
                <w:rFonts w:hint="eastAsia" w:eastAsia="仿宋_GB2312"/>
                <w:sz w:val="20"/>
                <w:szCs w:val="20"/>
              </w:rPr>
              <w:t>1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4</w:t>
            </w:r>
            <w:r>
              <w:rPr>
                <w:rFonts w:eastAsia="仿宋_GB2312"/>
                <w:sz w:val="20"/>
                <w:szCs w:val="20"/>
              </w:rPr>
              <w:t>.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1/2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60" w:lineRule="atLeast"/>
              <w:jc w:val="left"/>
              <w:rPr>
                <w:rFonts w:ascii="宋体"/>
              </w:rPr>
            </w:pPr>
            <w:r>
              <w:rPr>
                <w:rFonts w:hint="eastAsia" w:eastAsia="仿宋_GB2312" w:cs="仿宋_GB2312"/>
                <w:sz w:val="20"/>
                <w:szCs w:val="20"/>
                <w:lang w:val="en-US" w:eastAsia="zh-CN"/>
              </w:rPr>
              <w:t>中国省际工业自主创新效率研究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仿宋_GB2312"/>
                <w:sz w:val="20"/>
                <w:szCs w:val="20"/>
                <w:lang w:val="en-US" w:eastAsia="zh-CN"/>
              </w:rPr>
              <w:t>浙江省教育厅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仿宋_GB2312"/>
                <w:sz w:val="20"/>
                <w:szCs w:val="20"/>
                <w:lang w:val="en-US" w:eastAsia="zh-CN"/>
              </w:rPr>
              <w:t>浙江省高校科研成果奖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仿宋_GB2312"/>
                <w:sz w:val="20"/>
                <w:szCs w:val="20"/>
                <w:lang w:val="en-US" w:eastAsia="zh-CN"/>
              </w:rPr>
              <w:t>一等奖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60" w:lineRule="atLeast"/>
              <w:jc w:val="center"/>
              <w:rPr>
                <w:rFonts w:ascii="宋体"/>
              </w:rPr>
            </w:pPr>
            <w:r>
              <w:rPr>
                <w:rFonts w:hint="eastAsia" w:eastAsia="仿宋_GB2312"/>
                <w:sz w:val="20"/>
                <w:szCs w:val="20"/>
              </w:rPr>
              <w:t>2012.1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60" w:lineRule="atLeast"/>
              <w:jc w:val="center"/>
              <w:rPr>
                <w:rFonts w:ascii="宋体"/>
              </w:rPr>
            </w:pPr>
            <w:r>
              <w:rPr>
                <w:rFonts w:eastAsia="仿宋_GB2312"/>
                <w:sz w:val="20"/>
                <w:szCs w:val="20"/>
              </w:rPr>
              <w:t>1/</w:t>
            </w: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60" w:lineRule="atLeast"/>
              <w:jc w:val="left"/>
              <w:rPr>
                <w:rFonts w:ascii="宋体"/>
              </w:rPr>
            </w:pPr>
            <w:r>
              <w:rPr>
                <w:rFonts w:hint="eastAsia" w:eastAsia="仿宋_GB2312" w:cs="仿宋_GB2312"/>
                <w:sz w:val="20"/>
                <w:szCs w:val="20"/>
                <w:lang w:val="en-US" w:eastAsia="zh-CN"/>
              </w:rPr>
              <w:t>中国省际工业全要素R&amp;D效率和影响因素：1999-2007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仿宋_GB2312"/>
                <w:sz w:val="20"/>
                <w:szCs w:val="20"/>
                <w:lang w:val="en-US" w:eastAsia="zh-CN"/>
              </w:rPr>
              <w:t>浙江省社科联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仿宋_GB2312"/>
                <w:sz w:val="20"/>
                <w:szCs w:val="20"/>
                <w:lang w:val="en-US" w:eastAsia="zh-CN"/>
              </w:rPr>
              <w:t>浙江省社会科学界联合会</w:t>
            </w:r>
          </w:p>
          <w:p>
            <w:pPr>
              <w:spacing w:line="400" w:lineRule="exact"/>
              <w:jc w:val="center"/>
              <w:rPr>
                <w:rFonts w:hint="eastAsia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仿宋_GB2312"/>
                <w:sz w:val="20"/>
                <w:szCs w:val="20"/>
                <w:lang w:val="en-US" w:eastAsia="zh-CN"/>
              </w:rPr>
              <w:t>第四届社科研究优秀成果奖</w:t>
            </w:r>
          </w:p>
          <w:p>
            <w:pPr>
              <w:spacing w:line="400" w:lineRule="exact"/>
              <w:jc w:val="center"/>
              <w:rPr>
                <w:rFonts w:hint="eastAsia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仿宋_GB2312"/>
                <w:sz w:val="20"/>
                <w:szCs w:val="20"/>
                <w:lang w:val="en-US" w:eastAsia="zh-CN"/>
              </w:rPr>
              <w:t>三等奖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60" w:lineRule="atLeast"/>
              <w:jc w:val="center"/>
              <w:rPr>
                <w:rFonts w:ascii="宋体"/>
              </w:rPr>
            </w:pPr>
            <w:r>
              <w:rPr>
                <w:rFonts w:eastAsia="仿宋_GB2312" w:cs="仿宋_GB2312"/>
                <w:sz w:val="20"/>
                <w:szCs w:val="20"/>
              </w:rPr>
              <w:t>201</w:t>
            </w:r>
            <w:r>
              <w:rPr>
                <w:rFonts w:hint="eastAsia" w:eastAsia="仿宋_GB2312" w:cs="仿宋_GB2312"/>
                <w:sz w:val="20"/>
                <w:szCs w:val="20"/>
                <w:lang w:val="en-US" w:eastAsia="zh-CN"/>
              </w:rPr>
              <w:t>2</w:t>
            </w:r>
            <w:r>
              <w:rPr>
                <w:rFonts w:eastAsia="仿宋_GB2312" w:cs="仿宋_GB2312"/>
                <w:sz w:val="20"/>
                <w:szCs w:val="20"/>
              </w:rPr>
              <w:t>.</w:t>
            </w:r>
            <w:r>
              <w:rPr>
                <w:rFonts w:hint="eastAsia" w:eastAsia="仿宋_GB2312" w:cs="仿宋_GB2312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60" w:lineRule="atLeast"/>
              <w:jc w:val="center"/>
              <w:rPr>
                <w:rFonts w:ascii="宋体"/>
              </w:rPr>
            </w:pPr>
            <w:r>
              <w:rPr>
                <w:rFonts w:eastAsia="仿宋_GB2312" w:cs="仿宋_GB2312"/>
                <w:sz w:val="20"/>
                <w:szCs w:val="20"/>
              </w:rPr>
              <w:t>1/</w:t>
            </w:r>
            <w:r>
              <w:rPr>
                <w:rFonts w:hint="eastAsia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31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95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/>
              </w:rPr>
            </w:pPr>
          </w:p>
        </w:tc>
      </w:tr>
    </w:tbl>
    <w:p>
      <w:pPr>
        <w:spacing w:line="300" w:lineRule="exact"/>
        <w:ind w:right="336" w:rightChars="160" w:firstLine="100" w:firstLineChars="5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注：类型指获奖、教学成果、知识产权及艺术展。</w:t>
      </w:r>
    </w:p>
    <w:p>
      <w:pPr>
        <w:spacing w:line="300" w:lineRule="exact"/>
        <w:ind w:right="336" w:rightChars="160" w:firstLine="120" w:firstLineChars="5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二、主持科研和教改项目情况（仅填写本聘期内立项项目，限填</w:t>
      </w:r>
      <w:r>
        <w:rPr>
          <w:rFonts w:ascii="黑体" w:eastAsia="黑体"/>
          <w:sz w:val="24"/>
        </w:rPr>
        <w:t>4</w:t>
      </w:r>
      <w:r>
        <w:rPr>
          <w:rFonts w:hint="eastAsia" w:ascii="黑体" w:eastAsia="黑体"/>
          <w:sz w:val="24"/>
        </w:rPr>
        <w:t>项）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845"/>
        <w:gridCol w:w="990"/>
        <w:gridCol w:w="850"/>
        <w:gridCol w:w="1134"/>
        <w:gridCol w:w="709"/>
        <w:gridCol w:w="963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3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项目（基金）名称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项目（基金）来源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类（级）别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金额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（万元）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立项时间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排名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学院审核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职能部门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0" w:lineRule="exact"/>
              <w:rPr>
                <w:rFonts w:hint="eastAsia"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创新驱动、新老产品交替与工业增长方式转变研究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0" w:lineRule="exact"/>
              <w:rPr>
                <w:rFonts w:hint="eastAsia"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国家自然科学基金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0" w:lineRule="exact"/>
              <w:rPr>
                <w:rFonts w:hint="eastAsia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国家级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0" w:lineRule="exact"/>
              <w:rPr>
                <w:rFonts w:hint="eastAsia"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0" w:lineRule="exact"/>
              <w:rPr>
                <w:rFonts w:hint="eastAsia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2014.8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0" w:lineRule="exact"/>
              <w:rPr>
                <w:rFonts w:hint="eastAsia"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新老产品转换的机会成本与内生R&amp;D增长研究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0" w:lineRule="exact"/>
              <w:rPr>
                <w:rFonts w:hint="eastAsia"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教育部人文社科基金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0" w:lineRule="exact"/>
              <w:rPr>
                <w:rFonts w:hint="eastAsia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教育部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0" w:lineRule="exact"/>
              <w:rPr>
                <w:rFonts w:hint="eastAsia"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1</w:t>
            </w: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0" w:lineRule="exact"/>
              <w:rPr>
                <w:rFonts w:hint="eastAsia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2014.10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0" w:lineRule="exact"/>
              <w:rPr>
                <w:rFonts w:hint="eastAsia" w:eastAsia="仿宋" w:cs="仿宋"/>
                <w:sz w:val="20"/>
                <w:szCs w:val="20"/>
              </w:rPr>
            </w:pPr>
            <w:r>
              <w:rPr>
                <w:rFonts w:hint="default" w:eastAsia="仿宋" w:cs="仿宋"/>
                <w:sz w:val="20"/>
                <w:szCs w:val="20"/>
                <w:lang w:val="en-US" w:eastAsia="zh-CN"/>
              </w:rPr>
              <w:t>新产品全要素生产率的中国工业自主创新效率研究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0" w:lineRule="exact"/>
              <w:rPr>
                <w:rFonts w:hint="eastAsia" w:eastAsia="仿宋" w:cs="仿宋"/>
                <w:sz w:val="20"/>
                <w:szCs w:val="20"/>
              </w:rPr>
            </w:pPr>
            <w:r>
              <w:rPr>
                <w:rFonts w:hint="default" w:eastAsia="仿宋" w:cs="仿宋"/>
                <w:sz w:val="20"/>
                <w:szCs w:val="20"/>
                <w:lang w:val="en-US" w:eastAsia="zh-CN"/>
              </w:rPr>
              <w:t>国家社科基金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0" w:lineRule="exact"/>
              <w:rPr>
                <w:rFonts w:hint="eastAsia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国家级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0" w:lineRule="exact"/>
              <w:rPr>
                <w:rFonts w:hint="eastAsia"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0" w:lineRule="exact"/>
              <w:rPr>
                <w:rFonts w:hint="eastAsia"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2010.6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中国工业新产品全要素生产率研究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浙江省社科基金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省部级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2013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</w:tbl>
    <w:p>
      <w:pPr>
        <w:spacing w:line="400" w:lineRule="exact"/>
        <w:ind w:right="336" w:rightChars="160" w:firstLine="120" w:firstLineChars="5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三、论文、著作、教材（限填</w:t>
      </w:r>
      <w:r>
        <w:rPr>
          <w:rFonts w:ascii="黑体" w:eastAsia="黑体"/>
          <w:sz w:val="24"/>
        </w:rPr>
        <w:t>SCI</w:t>
      </w:r>
      <w:r>
        <w:rPr>
          <w:rFonts w:hint="eastAsia" w:ascii="黑体" w:eastAsia="黑体"/>
          <w:sz w:val="24"/>
        </w:rPr>
        <w:t>、</w:t>
      </w:r>
      <w:r>
        <w:rPr>
          <w:rFonts w:ascii="黑体" w:eastAsia="黑体"/>
          <w:sz w:val="24"/>
        </w:rPr>
        <w:t>EI</w:t>
      </w:r>
      <w:r>
        <w:rPr>
          <w:rFonts w:hint="eastAsia" w:ascii="黑体" w:eastAsia="黑体"/>
          <w:sz w:val="24"/>
        </w:rPr>
        <w:t>、一级、</w:t>
      </w:r>
      <w:r>
        <w:rPr>
          <w:rFonts w:ascii="黑体" w:eastAsia="黑体"/>
          <w:sz w:val="24"/>
        </w:rPr>
        <w:t>CSSCI</w:t>
      </w:r>
      <w:r>
        <w:rPr>
          <w:rFonts w:hint="eastAsia" w:ascii="黑体" w:eastAsia="黑体"/>
          <w:sz w:val="24"/>
        </w:rPr>
        <w:t>、</w:t>
      </w:r>
      <w:r>
        <w:rPr>
          <w:rFonts w:ascii="黑体" w:eastAsia="黑体"/>
          <w:sz w:val="24"/>
        </w:rPr>
        <w:t>CSCD</w:t>
      </w:r>
      <w:r>
        <w:rPr>
          <w:rFonts w:hint="eastAsia" w:ascii="黑体" w:eastAsia="黑体"/>
          <w:sz w:val="24"/>
        </w:rPr>
        <w:t>论文，限填</w:t>
      </w:r>
      <w:r>
        <w:rPr>
          <w:rFonts w:ascii="黑体" w:eastAsia="黑体"/>
          <w:sz w:val="24"/>
        </w:rPr>
        <w:t>6</w:t>
      </w:r>
      <w:r>
        <w:rPr>
          <w:rFonts w:hint="eastAsia" w:ascii="黑体" w:eastAsia="黑体"/>
          <w:sz w:val="24"/>
        </w:rPr>
        <w:t>项）</w:t>
      </w:r>
    </w:p>
    <w:tbl>
      <w:tblPr>
        <w:tblStyle w:val="7"/>
        <w:tblW w:w="10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117"/>
        <w:gridCol w:w="850"/>
        <w:gridCol w:w="1882"/>
        <w:gridCol w:w="830"/>
        <w:gridCol w:w="851"/>
        <w:gridCol w:w="817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类型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论文（著作、教材）题目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发表年月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刊物</w:t>
            </w:r>
            <w:r>
              <w:rPr>
                <w:rFonts w:ascii="宋体"/>
                <w:sz w:val="18"/>
                <w:szCs w:val="18"/>
              </w:rPr>
              <w:t>(</w:t>
            </w:r>
            <w:r>
              <w:rPr>
                <w:rFonts w:hint="eastAsia" w:ascii="宋体"/>
                <w:sz w:val="18"/>
                <w:szCs w:val="18"/>
              </w:rPr>
              <w:t>出版社</w:t>
            </w:r>
            <w:r>
              <w:rPr>
                <w:rFonts w:ascii="宋体"/>
                <w:sz w:val="18"/>
                <w:szCs w:val="18"/>
              </w:rPr>
              <w:t>)</w:t>
            </w:r>
            <w:r>
              <w:rPr>
                <w:rFonts w:hint="eastAsia" w:ascii="宋体"/>
                <w:sz w:val="18"/>
                <w:szCs w:val="18"/>
              </w:rPr>
              <w:t>名称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类级别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排名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学院审核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职能部门</w:t>
            </w:r>
          </w:p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</w:tbl>
    <w:p>
      <w:pPr>
        <w:spacing w:line="300" w:lineRule="exact"/>
        <w:ind w:right="336" w:rightChars="160" w:firstLine="100" w:firstLineChars="5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注：类型指论文、著作、教材。类级别指</w:t>
      </w:r>
      <w:r>
        <w:rPr>
          <w:sz w:val="20"/>
          <w:szCs w:val="20"/>
        </w:rPr>
        <w:t xml:space="preserve">SCI </w:t>
      </w:r>
      <w:r>
        <w:rPr>
          <w:rFonts w:hint="eastAsia"/>
          <w:sz w:val="20"/>
          <w:szCs w:val="20"/>
        </w:rPr>
        <w:t>、一档、</w:t>
      </w:r>
      <w:r>
        <w:rPr>
          <w:sz w:val="20"/>
          <w:szCs w:val="20"/>
        </w:rPr>
        <w:t>CSSCI</w:t>
      </w:r>
      <w:r>
        <w:rPr>
          <w:rFonts w:hint="eastAsia"/>
          <w:sz w:val="20"/>
          <w:szCs w:val="20"/>
        </w:rPr>
        <w:t>等。</w:t>
      </w:r>
    </w:p>
    <w:p>
      <w:pPr>
        <w:pStyle w:val="14"/>
        <w:numPr>
          <w:ilvl w:val="0"/>
          <w:numId w:val="2"/>
        </w:numPr>
        <w:spacing w:line="300" w:lineRule="exact"/>
        <w:ind w:right="336" w:rightChars="160" w:firstLineChars="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指导学生论文、竞赛获奖（限填</w:t>
      </w:r>
      <w:r>
        <w:rPr>
          <w:rFonts w:ascii="黑体" w:eastAsia="黑体"/>
          <w:sz w:val="24"/>
        </w:rPr>
        <w:t>3</w:t>
      </w:r>
      <w:r>
        <w:rPr>
          <w:rFonts w:hint="eastAsia" w:ascii="黑体" w:eastAsia="黑体"/>
          <w:sz w:val="24"/>
        </w:rPr>
        <w:t>项）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1649"/>
        <w:gridCol w:w="1352"/>
        <w:gridCol w:w="1418"/>
        <w:gridCol w:w="850"/>
        <w:gridCol w:w="1031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26" w:hRule="atLeast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获奖名称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获奖项目名称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颁奖部门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奖励级别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等级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获奖时间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学院审核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职能部门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校优秀论文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产品创新、过程创新与生产率增长（何静贤）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浙江理工大学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2014.6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校优秀论文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国际贸易、R&amp;D与中国工业生产率增长（</w:t>
            </w:r>
            <w:r>
              <w:rPr>
                <w:rFonts w:hint="default" w:eastAsia="仿宋" w:cs="仿宋"/>
                <w:sz w:val="20"/>
                <w:szCs w:val="20"/>
                <w:lang w:val="en-US" w:eastAsia="zh-CN"/>
              </w:rPr>
              <w:t>金晴</w:t>
            </w: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楠）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浙江理工大学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2015.6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63" w:hRule="atLeast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校优秀论文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我国银行业发展对实体经济增长的影响（李雯珺）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浙江理工大学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2013.6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</w:tbl>
    <w:p>
      <w:pPr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五、其他（填写与学科、专业、团队建设、青年教师培养等方面有关的工作业绩）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10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1、主笔撰写浙江省哲学社会科学重点研究基地—浙江省生态文明研究中心的申报材料，该基地最终获批；</w:t>
            </w:r>
          </w:p>
          <w:p>
            <w:pPr>
              <w:spacing w:line="280" w:lineRule="exact"/>
              <w:rPr>
                <w:rFonts w:hint="eastAsia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2、主笔撰写应用经济学一级学科硕士学位点的评估材料；</w:t>
            </w:r>
          </w:p>
          <w:p>
            <w:pPr>
              <w:spacing w:line="280" w:lineRule="exact"/>
              <w:rPr>
                <w:rFonts w:hint="eastAsia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3、作为国贸学科带头人参加了基地结项和新一轮基地的申报工作；</w:t>
            </w:r>
          </w:p>
          <w:p>
            <w:pPr>
              <w:spacing w:line="280" w:lineRule="exact"/>
              <w:rPr>
                <w:rFonts w:hint="eastAsia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4、担任了校社联学术部主任，组织参与多场学术报告活动。</w:t>
            </w: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ind w:firstLine="7200" w:firstLineChars="4000"/>
              <w:rPr>
                <w:rFonts w:ascii="宋体"/>
                <w:sz w:val="18"/>
                <w:szCs w:val="18"/>
              </w:rPr>
            </w:pPr>
          </w:p>
          <w:p>
            <w:pPr>
              <w:ind w:firstLine="7200" w:firstLineChars="40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部门负责人签字：</w:t>
            </w:r>
          </w:p>
        </w:tc>
      </w:tr>
    </w:tbl>
    <w:p>
      <w:pPr>
        <w:tabs>
          <w:tab w:val="left" w:pos="1095"/>
        </w:tabs>
        <w:spacing w:line="400" w:lineRule="exact"/>
        <w:ind w:right="336" w:rightChars="160"/>
        <w:jc w:val="left"/>
        <w:rPr>
          <w:rFonts w:ascii="黑体" w:eastAsia="黑体"/>
          <w:sz w:val="32"/>
          <w:szCs w:val="32"/>
        </w:rPr>
      </w:pPr>
    </w:p>
    <w:sectPr>
      <w:headerReference r:id="rId3" w:type="default"/>
      <w:pgSz w:w="11906" w:h="16838"/>
      <w:pgMar w:top="737" w:right="720" w:bottom="62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S Sans Serif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altName w:val="Gulim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sz w:val="21"/>
        <w:szCs w:val="21"/>
      </w:rPr>
    </w:pPr>
    <w:r>
      <w:rPr>
        <w:rFonts w:hint="eastAsia"/>
        <w:sz w:val="21"/>
        <w:szCs w:val="21"/>
      </w:rPr>
      <w:t>附件</w:t>
    </w:r>
    <w:r>
      <w:rPr>
        <w:sz w:val="21"/>
        <w:szCs w:val="21"/>
      </w:rPr>
      <w:t>1-1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2028D"/>
    <w:multiLevelType w:val="multilevel"/>
    <w:tmpl w:val="4952028D"/>
    <w:lvl w:ilvl="0" w:tentative="0">
      <w:start w:val="1"/>
      <w:numFmt w:val="japaneseCounting"/>
      <w:lvlText w:val="%1、"/>
      <w:lvlJc w:val="left"/>
      <w:pPr>
        <w:ind w:left="1004" w:hanging="720"/>
      </w:pPr>
      <w:rPr>
        <w:rFonts w:hint="default" w:cs="Times New Roman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">
    <w:nsid w:val="5E2506A6"/>
    <w:multiLevelType w:val="multilevel"/>
    <w:tmpl w:val="5E2506A6"/>
    <w:lvl w:ilvl="0" w:tentative="0">
      <w:start w:val="4"/>
      <w:numFmt w:val="japaneseCounting"/>
      <w:lvlText w:val="%1、"/>
      <w:lvlJc w:val="left"/>
      <w:pPr>
        <w:ind w:left="622" w:hanging="48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982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402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242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662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502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922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03"/>
    <w:rsid w:val="00012845"/>
    <w:rsid w:val="00020D27"/>
    <w:rsid w:val="00035FEA"/>
    <w:rsid w:val="000633F7"/>
    <w:rsid w:val="0007203F"/>
    <w:rsid w:val="0007232C"/>
    <w:rsid w:val="00084895"/>
    <w:rsid w:val="00087113"/>
    <w:rsid w:val="000C1292"/>
    <w:rsid w:val="000D6709"/>
    <w:rsid w:val="000D67D0"/>
    <w:rsid w:val="00113C68"/>
    <w:rsid w:val="00114020"/>
    <w:rsid w:val="00120D05"/>
    <w:rsid w:val="0012160A"/>
    <w:rsid w:val="00131E03"/>
    <w:rsid w:val="00134FCB"/>
    <w:rsid w:val="00143676"/>
    <w:rsid w:val="00152633"/>
    <w:rsid w:val="00163F7E"/>
    <w:rsid w:val="00192E03"/>
    <w:rsid w:val="00193798"/>
    <w:rsid w:val="001979C4"/>
    <w:rsid w:val="001A0395"/>
    <w:rsid w:val="001B0B05"/>
    <w:rsid w:val="001B1CB0"/>
    <w:rsid w:val="001B63E7"/>
    <w:rsid w:val="001C3D6F"/>
    <w:rsid w:val="001D055E"/>
    <w:rsid w:val="001E6F7E"/>
    <w:rsid w:val="001E705F"/>
    <w:rsid w:val="001F1D4C"/>
    <w:rsid w:val="001F35EE"/>
    <w:rsid w:val="001F795B"/>
    <w:rsid w:val="00202530"/>
    <w:rsid w:val="00206637"/>
    <w:rsid w:val="00246E05"/>
    <w:rsid w:val="00252615"/>
    <w:rsid w:val="00271339"/>
    <w:rsid w:val="002743D7"/>
    <w:rsid w:val="00282A67"/>
    <w:rsid w:val="00285AFF"/>
    <w:rsid w:val="00286300"/>
    <w:rsid w:val="00293233"/>
    <w:rsid w:val="00294D35"/>
    <w:rsid w:val="0029635E"/>
    <w:rsid w:val="002A34A1"/>
    <w:rsid w:val="002A63F4"/>
    <w:rsid w:val="00313B30"/>
    <w:rsid w:val="00317C8B"/>
    <w:rsid w:val="0032280E"/>
    <w:rsid w:val="00323874"/>
    <w:rsid w:val="00330739"/>
    <w:rsid w:val="00332D5D"/>
    <w:rsid w:val="00347E21"/>
    <w:rsid w:val="003A0A17"/>
    <w:rsid w:val="003A2D4F"/>
    <w:rsid w:val="003A3214"/>
    <w:rsid w:val="003B0F49"/>
    <w:rsid w:val="003C4BBA"/>
    <w:rsid w:val="003F504E"/>
    <w:rsid w:val="00407A12"/>
    <w:rsid w:val="00425FA7"/>
    <w:rsid w:val="00426FA9"/>
    <w:rsid w:val="00431524"/>
    <w:rsid w:val="00440721"/>
    <w:rsid w:val="00443E70"/>
    <w:rsid w:val="004700B1"/>
    <w:rsid w:val="004B06DC"/>
    <w:rsid w:val="004B0D31"/>
    <w:rsid w:val="00500E02"/>
    <w:rsid w:val="005053F9"/>
    <w:rsid w:val="0051333E"/>
    <w:rsid w:val="00521E7C"/>
    <w:rsid w:val="00570DFE"/>
    <w:rsid w:val="005745D6"/>
    <w:rsid w:val="0059061F"/>
    <w:rsid w:val="00597065"/>
    <w:rsid w:val="005C06D8"/>
    <w:rsid w:val="005C2A10"/>
    <w:rsid w:val="005C70BA"/>
    <w:rsid w:val="005E7267"/>
    <w:rsid w:val="006161EF"/>
    <w:rsid w:val="0063084D"/>
    <w:rsid w:val="006331DE"/>
    <w:rsid w:val="00641EEB"/>
    <w:rsid w:val="0067649C"/>
    <w:rsid w:val="00695611"/>
    <w:rsid w:val="006A4331"/>
    <w:rsid w:val="006B348D"/>
    <w:rsid w:val="00705322"/>
    <w:rsid w:val="00714E68"/>
    <w:rsid w:val="007224D2"/>
    <w:rsid w:val="007709D4"/>
    <w:rsid w:val="00773049"/>
    <w:rsid w:val="00784C5D"/>
    <w:rsid w:val="007947B9"/>
    <w:rsid w:val="007A484F"/>
    <w:rsid w:val="007B6CC8"/>
    <w:rsid w:val="007C625B"/>
    <w:rsid w:val="008240D1"/>
    <w:rsid w:val="00841B20"/>
    <w:rsid w:val="00851CED"/>
    <w:rsid w:val="0087609E"/>
    <w:rsid w:val="00881390"/>
    <w:rsid w:val="008B622A"/>
    <w:rsid w:val="008C3579"/>
    <w:rsid w:val="008C5ACA"/>
    <w:rsid w:val="008E0208"/>
    <w:rsid w:val="008F4667"/>
    <w:rsid w:val="00907170"/>
    <w:rsid w:val="0092689C"/>
    <w:rsid w:val="00943A84"/>
    <w:rsid w:val="00970A45"/>
    <w:rsid w:val="00972F33"/>
    <w:rsid w:val="009836B1"/>
    <w:rsid w:val="009901A5"/>
    <w:rsid w:val="00997015"/>
    <w:rsid w:val="009D68DE"/>
    <w:rsid w:val="009D71C4"/>
    <w:rsid w:val="009E543F"/>
    <w:rsid w:val="009F4857"/>
    <w:rsid w:val="00A472EC"/>
    <w:rsid w:val="00A747FB"/>
    <w:rsid w:val="00A8363D"/>
    <w:rsid w:val="00A92F47"/>
    <w:rsid w:val="00AA10F7"/>
    <w:rsid w:val="00AA77C8"/>
    <w:rsid w:val="00AB0AC0"/>
    <w:rsid w:val="00AC16A1"/>
    <w:rsid w:val="00AC7221"/>
    <w:rsid w:val="00AC7D21"/>
    <w:rsid w:val="00AE0296"/>
    <w:rsid w:val="00AE61DB"/>
    <w:rsid w:val="00AF0D80"/>
    <w:rsid w:val="00AF25B7"/>
    <w:rsid w:val="00AF78EA"/>
    <w:rsid w:val="00B1422B"/>
    <w:rsid w:val="00B1422C"/>
    <w:rsid w:val="00B17D8B"/>
    <w:rsid w:val="00B32C5B"/>
    <w:rsid w:val="00B61257"/>
    <w:rsid w:val="00B65E53"/>
    <w:rsid w:val="00B77DBE"/>
    <w:rsid w:val="00BC01C1"/>
    <w:rsid w:val="00BC3B04"/>
    <w:rsid w:val="00BC6558"/>
    <w:rsid w:val="00BD3FA3"/>
    <w:rsid w:val="00BE019D"/>
    <w:rsid w:val="00C1741F"/>
    <w:rsid w:val="00C37C57"/>
    <w:rsid w:val="00C43D21"/>
    <w:rsid w:val="00C476AE"/>
    <w:rsid w:val="00C512CE"/>
    <w:rsid w:val="00C6520B"/>
    <w:rsid w:val="00C65221"/>
    <w:rsid w:val="00C80B04"/>
    <w:rsid w:val="00CC035C"/>
    <w:rsid w:val="00CC391F"/>
    <w:rsid w:val="00CD1D01"/>
    <w:rsid w:val="00CD5A61"/>
    <w:rsid w:val="00CD7AF9"/>
    <w:rsid w:val="00CE6BC8"/>
    <w:rsid w:val="00CF1FFA"/>
    <w:rsid w:val="00D002A5"/>
    <w:rsid w:val="00D010A3"/>
    <w:rsid w:val="00D01C7F"/>
    <w:rsid w:val="00D06DA3"/>
    <w:rsid w:val="00D13BFE"/>
    <w:rsid w:val="00D21158"/>
    <w:rsid w:val="00D23DE1"/>
    <w:rsid w:val="00D2525C"/>
    <w:rsid w:val="00D27D7A"/>
    <w:rsid w:val="00D95C80"/>
    <w:rsid w:val="00DB60EF"/>
    <w:rsid w:val="00DC2EC4"/>
    <w:rsid w:val="00DD21D8"/>
    <w:rsid w:val="00DE65F1"/>
    <w:rsid w:val="00E21988"/>
    <w:rsid w:val="00E27486"/>
    <w:rsid w:val="00E31D7C"/>
    <w:rsid w:val="00E36EA1"/>
    <w:rsid w:val="00E42A47"/>
    <w:rsid w:val="00E5678D"/>
    <w:rsid w:val="00E650EC"/>
    <w:rsid w:val="00E75B42"/>
    <w:rsid w:val="00EC6DE8"/>
    <w:rsid w:val="00ED7158"/>
    <w:rsid w:val="00EE035B"/>
    <w:rsid w:val="00EE665F"/>
    <w:rsid w:val="00EF0E83"/>
    <w:rsid w:val="00EF28BF"/>
    <w:rsid w:val="00EF3A57"/>
    <w:rsid w:val="00F02371"/>
    <w:rsid w:val="00F02AB9"/>
    <w:rsid w:val="00F06188"/>
    <w:rsid w:val="00F12048"/>
    <w:rsid w:val="00F1552D"/>
    <w:rsid w:val="00F24264"/>
    <w:rsid w:val="00F24F91"/>
    <w:rsid w:val="00F260EB"/>
    <w:rsid w:val="00F45BF7"/>
    <w:rsid w:val="00F64650"/>
    <w:rsid w:val="00F65038"/>
    <w:rsid w:val="00F71218"/>
    <w:rsid w:val="00F71FF1"/>
    <w:rsid w:val="00F77EA1"/>
    <w:rsid w:val="00FA5CAC"/>
    <w:rsid w:val="00FB45F2"/>
    <w:rsid w:val="00FC6D69"/>
    <w:rsid w:val="00FE6578"/>
    <w:rsid w:val="00FF15FF"/>
    <w:rsid w:val="00FF233E"/>
    <w:rsid w:val="00FF73AC"/>
    <w:rsid w:val="05CF602B"/>
    <w:rsid w:val="27441EF0"/>
    <w:rsid w:val="35A7031E"/>
    <w:rsid w:val="36911A6D"/>
    <w:rsid w:val="3C5866C2"/>
    <w:rsid w:val="4A993A02"/>
    <w:rsid w:val="53FA3C53"/>
    <w:rsid w:val="6D3476AB"/>
    <w:rsid w:val="7A56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6"/>
    <w:link w:val="2"/>
    <w:locked/>
    <w:uiPriority w:val="99"/>
    <w:rPr>
      <w:rFonts w:ascii="Times New Roman" w:hAnsi="Times New Roman" w:cs="Times New Roman"/>
      <w:b/>
      <w:kern w:val="44"/>
      <w:sz w:val="24"/>
      <w:szCs w:val="24"/>
    </w:rPr>
  </w:style>
  <w:style w:type="character" w:customStyle="1" w:styleId="10">
    <w:name w:val="Header Char"/>
    <w:semiHidden/>
    <w:locked/>
    <w:uiPriority w:val="99"/>
    <w:rPr>
      <w:rFonts w:ascii="Times New Roman" w:hAnsi="Times New Roman"/>
      <w:kern w:val="2"/>
      <w:sz w:val="18"/>
    </w:rPr>
  </w:style>
  <w:style w:type="character" w:customStyle="1" w:styleId="11">
    <w:name w:val="Footer Char"/>
    <w:locked/>
    <w:uiPriority w:val="99"/>
    <w:rPr>
      <w:rFonts w:ascii="Times New Roman" w:hAnsi="Times New Roman" w:eastAsia="宋体"/>
      <w:sz w:val="18"/>
    </w:rPr>
  </w:style>
  <w:style w:type="character" w:customStyle="1" w:styleId="12">
    <w:name w:val="页眉 Char"/>
    <w:basedOn w:val="6"/>
    <w:link w:val="5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3">
    <w:name w:val="页脚 Char"/>
    <w:basedOn w:val="6"/>
    <w:link w:val="4"/>
    <w:semiHidden/>
    <w:locked/>
    <w:uiPriority w:val="99"/>
    <w:rPr>
      <w:rFonts w:ascii="Times New Roman" w:hAnsi="Times New Roman" w:cs="Times New Roman"/>
      <w:sz w:val="18"/>
      <w:szCs w:val="18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Char"/>
    <w:basedOn w:val="6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242</Words>
  <Characters>1383</Characters>
  <Lines>11</Lines>
  <Paragraphs>3</Paragraphs>
  <ScaleCrop>false</ScaleCrop>
  <LinksUpToDate>false</LinksUpToDate>
  <CharactersWithSpaces>1622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2017-05-18T07:48:00Z</dcterms:created>
  <dc:creator>Administrator</dc:creator>
  <cp:lastModifiedBy>houlei</cp:lastModifiedBy>
  <cp:lastPrinted>2017-05-04T08:10:00Z</cp:lastPrinted>
  <dcterms:modified xsi:type="dcterms:W3CDTF">2017-05-25T02:12:00Z</dcterms:modified>
  <dc:title>正高级专业技术岗位考核表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